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1170"/>
        <w:tblW w:w="103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7655"/>
      </w:tblGrid>
      <w:tr w:rsidR="004270CA" w:rsidTr="004270CA">
        <w:trPr>
          <w:trHeight w:val="837"/>
        </w:trPr>
        <w:tc>
          <w:tcPr>
            <w:tcW w:w="2695" w:type="dxa"/>
            <w:hideMark/>
          </w:tcPr>
          <w:p w:rsidR="004270CA" w:rsidRDefault="004270CA" w:rsidP="004270CA">
            <w:pPr>
              <w:snapToGrid w:val="0"/>
              <w:jc w:val="both"/>
              <w:rPr>
                <w:color w:val="000000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-269240</wp:posOffset>
                  </wp:positionH>
                  <wp:positionV relativeFrom="paragraph">
                    <wp:posOffset>-19685</wp:posOffset>
                  </wp:positionV>
                  <wp:extent cx="2155825" cy="723900"/>
                  <wp:effectExtent l="0" t="0" r="0" b="0"/>
                  <wp:wrapNone/>
                  <wp:docPr id="1" name="Imagem 1" descr="ifggoiniaoesteresum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ifggoiniaoesteresum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8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5" w:type="dxa"/>
            <w:vAlign w:val="center"/>
            <w:hideMark/>
          </w:tcPr>
          <w:p w:rsidR="004270CA" w:rsidRDefault="004270CA" w:rsidP="004270CA">
            <w:pPr>
              <w:snapToGrid w:val="0"/>
              <w:spacing w:after="0"/>
              <w:ind w:left="21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MINISTÉRIO DA EDUCAÇÃO</w:t>
            </w:r>
          </w:p>
          <w:p w:rsidR="004270CA" w:rsidRDefault="004270CA" w:rsidP="004270CA">
            <w:pPr>
              <w:spacing w:after="0"/>
              <w:ind w:left="21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SECRETARIA DE EDUCAÇÃO PROFISSIONAL E TECNOLÓGICA</w:t>
            </w:r>
          </w:p>
          <w:p w:rsidR="004270CA" w:rsidRDefault="004270CA" w:rsidP="004270CA">
            <w:pPr>
              <w:spacing w:after="0"/>
              <w:ind w:left="214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INSTITUTO FEDERAL DE EDUCAÇÃO, CIÊNCIA E TECNOLOGIA DE GOIÁS</w:t>
            </w:r>
          </w:p>
          <w:p w:rsidR="004270CA" w:rsidRDefault="004270CA" w:rsidP="004270CA">
            <w:pPr>
              <w:pStyle w:val="Ttulo2"/>
              <w:widowControl/>
              <w:numPr>
                <w:ilvl w:val="0"/>
                <w:numId w:val="0"/>
              </w:numPr>
              <w:tabs>
                <w:tab w:val="num" w:pos="0"/>
              </w:tabs>
              <w:spacing w:before="0" w:after="0"/>
              <w:ind w:left="214"/>
              <w:rPr>
                <w:rFonts w:ascii="Times New Roman" w:hAnsi="Times New Roman"/>
                <w:b w:val="0"/>
                <w:color w:val="000000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CÂMPUS GOIÂNIA OESTE</w:t>
            </w:r>
          </w:p>
          <w:p w:rsidR="004270CA" w:rsidRDefault="004270CA" w:rsidP="004270CA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ar-SA"/>
              </w:rPr>
              <w:t xml:space="preserve">     DEPARTAMENTO DE ÁREAS ACADÊMICAS</w:t>
            </w:r>
          </w:p>
          <w:p w:rsidR="004270CA" w:rsidRDefault="004270CA" w:rsidP="004270CA">
            <w:pPr>
              <w:spacing w:after="0"/>
              <w:ind w:left="214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COORDENAÇÃO DO CURSO DE LICENCIATURA EM PEDAGOGIA</w:t>
            </w:r>
          </w:p>
        </w:tc>
      </w:tr>
    </w:tbl>
    <w:p w:rsidR="008A3825" w:rsidRDefault="008A3825" w:rsidP="008A3825">
      <w:pPr>
        <w:pStyle w:val="SemEspaamento"/>
        <w:spacing w:line="276" w:lineRule="auto"/>
        <w:jc w:val="both"/>
        <w:rPr>
          <w:b/>
          <w:sz w:val="32"/>
          <w:szCs w:val="32"/>
        </w:rPr>
      </w:pPr>
    </w:p>
    <w:p w:rsidR="004270CA" w:rsidRDefault="004270CA" w:rsidP="000615DB">
      <w:pPr>
        <w:jc w:val="center"/>
        <w:rPr>
          <w:b/>
          <w:sz w:val="36"/>
          <w:szCs w:val="32"/>
        </w:rPr>
      </w:pPr>
    </w:p>
    <w:p w:rsidR="00653306" w:rsidRDefault="0083198E" w:rsidP="000615DB">
      <w:pPr>
        <w:jc w:val="center"/>
        <w:rPr>
          <w:b/>
          <w:sz w:val="36"/>
          <w:szCs w:val="32"/>
        </w:rPr>
      </w:pPr>
      <w:bookmarkStart w:id="0" w:name="_GoBack"/>
      <w:bookmarkEnd w:id="0"/>
      <w:r>
        <w:rPr>
          <w:b/>
          <w:sz w:val="36"/>
          <w:szCs w:val="32"/>
        </w:rPr>
        <w:t>Caracterização e regulamentação do laboratório de ensino</w:t>
      </w:r>
    </w:p>
    <w:p w:rsidR="0083198E" w:rsidRPr="00623DF3" w:rsidRDefault="0083198E" w:rsidP="0083198E">
      <w:pPr>
        <w:spacing w:line="240" w:lineRule="auto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line="240" w:lineRule="auto"/>
        <w:jc w:val="center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b/>
          <w:color w:val="000000"/>
        </w:rPr>
        <w:t>DISPOSIÇÕES PRELIMINARES</w:t>
      </w:r>
    </w:p>
    <w:p w:rsidR="0083198E" w:rsidRPr="00623DF3" w:rsidRDefault="0083198E" w:rsidP="0083198E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/>
        <w:ind w:firstLine="72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 xml:space="preserve"> O curso de Pedagogia do IF Goiás – Câmpus Goiânia Oeste prima pela formação do educador social, que compreende as formações docente (ação educativa política e cultural), epistemológica (alicerçada nos fundamentos filosóficos e sócio-históricos da educação), profissional (para atuação nos processos educativos escolares e não escolares), científica (a pesquisa como princípio formativo), social (vínculo sociedade-ciência–tecnologias/mídias sociais) e didático-pedagógica. Esta última, na formação do acadêmico, nas disciplinas de Fundamentos e Metodologias do Ensino de: Língua Portuguesa, Matemática, História, Geografia, Ciências, Artes e Educação Especial e inclusão (IFG, 2014).</w:t>
      </w:r>
    </w:p>
    <w:p w:rsidR="0083198E" w:rsidRPr="00623DF3" w:rsidRDefault="0083198E" w:rsidP="0083198E">
      <w:pPr>
        <w:spacing w:after="0"/>
        <w:ind w:firstLine="70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Espera-se que o pedagogo, como prevê a Resolução CNE/CP n°01/2006 (BRASIL, 2006), das Diretrizes Curriculares nacionais para o curso de Pedagogia, esteja apto a: “VI – ensinar Língua Portuguesa, Matemática, Ciências, História Geografia, Artes, Educação Física, de forma interdisciplinar e adequada às diferentes fases do desenvolvimento humano” e “VIII- relacionar linguagens dos meios de comunicação à educação, nos processos didáticos-pedagógicos, demonstrando domínio das tecnologias de informação e comunicação adequadas ao desenvolvimento de aprendizagens significativas”, além de “IV- promover a aprendizagem de sujeitos em diferentes fases do desenvolvimento humano e em diversos níveis e modalidades do processo educativo”, o que abrange a educação infantil, o ensino fundamental e “III -(...)  “ aqueles que não tiveram oportunidades de escolarização na idade própria”. Espera-se, ainda, que ele saiba “IX - utilizar, com propriedade, instrumentos próprios para construção de conhecimentos pedagógicos-científicos e “realizar pesquisas, identificar problemas socioculturais e educacionais com postura investigativa, integrativa e propositiva”, ciente da diversidade humana (diferenças sociais, culturais, linguísticas, regionais, étnicas, de gênero, etárias, de necessidades especiais ou específicas de aprendizagem) e ambiental-ecológica.</w:t>
      </w:r>
    </w:p>
    <w:p w:rsidR="0083198E" w:rsidRPr="00623DF3" w:rsidRDefault="0083198E" w:rsidP="0083198E">
      <w:pPr>
        <w:spacing w:after="0"/>
        <w:ind w:firstLine="70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Dada essa abrangência e responsabilidade, faz-se necessária a organização e o uso de um espaço de estudo, pesquisa,produção científica e de recursos pedagógicos que favoreça e fortaleça a relação teoria-prática desenvolvida nas disciplinas do curso de Pedagogia, sob as proposições o quê, como, para quê e para quem ensinar.</w:t>
      </w:r>
    </w:p>
    <w:p w:rsidR="0083198E" w:rsidRPr="00623DF3" w:rsidRDefault="0083198E" w:rsidP="0083198E">
      <w:pPr>
        <w:spacing w:after="0"/>
        <w:ind w:firstLine="70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 xml:space="preserve">Conforme Libâneo (2012, p. 54), o trabalho peculiar do professor é a atividade de ensino, cujo “objeto’ (a quem se dirige) é o sujeito que aprende. Para que ocorra aprendizagem, esse sujeito precisa mobilizar suas ações e operações intelectuais, o que </w:t>
      </w:r>
      <w:r w:rsidRPr="00623DF3">
        <w:rPr>
          <w:rFonts w:ascii="Times New Roman" w:hAnsi="Times New Roman"/>
          <w:color w:val="000000"/>
        </w:rPr>
        <w:lastRenderedPageBreak/>
        <w:t>deve ser impulsionado pela mediação didática. Assim, “o trabalho do professor consiste em ajudar o aluno, por meio dos conteúdos, a adquirir capacidades para novas operações mentais ou modificar as existentes, como que se operam mudanças qualitativas na personalidade” (LIBÂNEO, 2012, p. 41). Por essa razão, como sublinha o autor, a prática profissional docente não é meramente técnica, é “[...] uma atividade prática que é sempre teórica, pensada e um movimento do pensamento, do que resulta uma prática pensada”. (LIBÂNEO, 2012, p. 55). Assim, “a atividade de ensino tem como centro (núcleo) a estruturação de tarefas de aprendizagem (ou tarefas cognitivas como análise e síntese, comparação, solução de problemas, formulação de hipóteses, etc. [...]”(p. 55).</w:t>
      </w:r>
    </w:p>
    <w:p w:rsidR="0083198E" w:rsidRPr="00623DF3" w:rsidRDefault="0083198E" w:rsidP="0083198E">
      <w:pPr>
        <w:spacing w:after="0"/>
        <w:ind w:firstLine="70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Nesse intuito, a proposta de estruturação e uso do Laboratório de Ensino transcende o enfoque funcionalista; tem em vista processos formativos para o desenvolvimento humano, contextualizado nas diversas práticas e interações socioculturais. Considera-se que o sujeito da aprendizagem poderá, ao aprender, modificar-se e então problematizar, agir e operar na realidade concreta, produzindo transformações por meio do conhecimento que beneficiem, sob princípios éticos, indivíduos, coletividades e meio ambiente.</w:t>
      </w:r>
    </w:p>
    <w:p w:rsidR="0083198E" w:rsidRPr="00623DF3" w:rsidRDefault="0083198E" w:rsidP="0083198E">
      <w:pPr>
        <w:spacing w:after="0"/>
        <w:ind w:firstLine="70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 xml:space="preserve">Nesse sentido, o Laboratório se apresenta como um centro de estudos, pesquisa, produção e utilização de recursos, propostas e práticas de ensino em que o acadêmico de Pedagogia construa ou desenvolva materiais didáticos, ações de estágio e oficinas pedagógicas, bem como sistematizar propostas metodológicas, avaliativas e conteúdo referentes às várias disciplinas (didáticas disciplinares) em ações de ensino, pesquisa e extensão. </w:t>
      </w:r>
    </w:p>
    <w:p w:rsidR="0083198E" w:rsidRPr="00623DF3" w:rsidRDefault="0083198E" w:rsidP="0083198E">
      <w:pPr>
        <w:spacing w:after="0"/>
        <w:ind w:firstLine="70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Em linhas gerais, os usos e recursos, por disciplina, são assim descritos:</w:t>
      </w:r>
    </w:p>
    <w:p w:rsidR="0083198E" w:rsidRPr="00623DF3" w:rsidRDefault="0083198E" w:rsidP="0083198E">
      <w:pPr>
        <w:spacing w:after="0"/>
        <w:ind w:firstLine="700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/>
        <w:ind w:firstLine="70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 xml:space="preserve">- </w:t>
      </w:r>
      <w:r w:rsidRPr="00623DF3">
        <w:rPr>
          <w:rFonts w:ascii="Times New Roman" w:hAnsi="Times New Roman"/>
          <w:color w:val="000000"/>
          <w:highlight w:val="white"/>
          <w:u w:val="single"/>
        </w:rPr>
        <w:t>Fundamentos e Metodologia da Educação Especial e Inclusão</w:t>
      </w:r>
      <w:r w:rsidRPr="00623DF3">
        <w:rPr>
          <w:rFonts w:ascii="Times New Roman" w:hAnsi="Times New Roman"/>
          <w:color w:val="000000"/>
          <w:highlight w:val="white"/>
        </w:rPr>
        <w:t>: a efetividade da educação inclusiva exige que se desenvolvam e sejam postos em prática recursos pedagógicos específicos, como tecnologia assistiva, para educandos que apresentam algum tipo de deficiência ou então altas habilidades/superdotação. Concomitantemente, é requerido um preparo docente para tal desenvolvimento e utilização, tanto teórico, quanto técnico e didático.  Dentre as possibilidades, destacam-se programas computacionais para pessoas com baixa mobilidade, para os que não conseguem se comunicar por meio da fala (</w:t>
      </w:r>
      <w:r w:rsidRPr="00623DF3">
        <w:rPr>
          <w:rFonts w:ascii="Times New Roman" w:hAnsi="Times New Roman"/>
          <w:i/>
          <w:color w:val="000000"/>
          <w:highlight w:val="white"/>
        </w:rPr>
        <w:t>softwares</w:t>
      </w:r>
      <w:r w:rsidRPr="00623DF3">
        <w:rPr>
          <w:rFonts w:ascii="Times New Roman" w:hAnsi="Times New Roman"/>
          <w:color w:val="000000"/>
          <w:highlight w:val="white"/>
        </w:rPr>
        <w:t xml:space="preserve"> de comunicação alternativa) e para pessoas cegas ou com baixa visão; impressoras e punção para escrita Braille; teclado de computador, materiais escolares e de atividades de vida diária (AVDs) adaptados para pessoas com baixa mobilidade física; jogos, livros literários e brinquedos específicos. O laboratório, além ofertar acesso a esses materiais, pode fomentar, por seu acervo e pesquisas, produção, por parte dos acadêmicos, de outros materiais afins, a serem utilizados em práticas de ensino na comunidade, uma vez que existem tecnologias assistivas de baixo custo, tais como: brinquedos e instrumentos que explorem a sensorialidade e pranchas artesanais de comunicação alternativa. Na sua confecção são requeridos materiais como: cartolina, álbuns de fotografia, papelão, tábuas de madeira, E.V.A., tecidos diversos, lixa, fotografias, gravuras/figuras, sementes/grãos, tampinhas, garrafas plásticas, entre outros.</w:t>
      </w:r>
    </w:p>
    <w:p w:rsidR="0083198E" w:rsidRPr="00623DF3" w:rsidRDefault="0083198E" w:rsidP="0083198E">
      <w:pPr>
        <w:spacing w:after="0"/>
        <w:ind w:firstLine="700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numPr>
          <w:ilvl w:val="0"/>
          <w:numId w:val="7"/>
        </w:numPr>
        <w:spacing w:after="0"/>
        <w:ind w:hanging="360"/>
        <w:contextualSpacing/>
        <w:jc w:val="both"/>
        <w:rPr>
          <w:rFonts w:ascii="Times New Roman" w:hAnsi="Times New Roman"/>
          <w:color w:val="000000"/>
          <w:highlight w:val="white"/>
        </w:rPr>
      </w:pPr>
      <w:r w:rsidRPr="00623DF3">
        <w:rPr>
          <w:rFonts w:ascii="Times New Roman" w:hAnsi="Times New Roman"/>
          <w:color w:val="000000"/>
          <w:highlight w:val="white"/>
          <w:u w:val="single"/>
        </w:rPr>
        <w:lastRenderedPageBreak/>
        <w:t xml:space="preserve">Fundamentos e Metodologias do Ensino de Artes: </w:t>
      </w:r>
      <w:r w:rsidRPr="00623DF3">
        <w:rPr>
          <w:rFonts w:ascii="Times New Roman" w:hAnsi="Times New Roman"/>
          <w:color w:val="000000"/>
          <w:highlight w:val="white"/>
        </w:rPr>
        <w:t>Grande parte das ações do pedagogo estão calcadas nos processos de arte, principalmente nos primeiros anos da escola. Sendo arte ação criativa, é fundamental garantir um espaço que amplie as ações dos alunos do curso de licenciatura em Pedagogia, subsidie conceitos e oferte ferramentas materiais, onde esses alunos possam experimentar os processos de arte na criação, na interpretação e na fruição. Esse espaço, além de possuir recursos comuns a todas as disciplinas de Fundamentos e Metodologias do curso de Licenciatura em Pedagogia, abriga materiais específicos, como livros e artigos que discutem a Arte e o ensino de arte na escola, instrumentos musicais, objetos de produção sonora, instrumentos confeccionados pelos alunos, gravações diversas e das performances produzidas pelos alunos do curso de Pedagogia e arquivos de partituras. Esses materiais servirão como ponto de partida para os alunos de Pedagogia pensarem a prática de arte e sua aplicação futura, tomando como base o ensino, a pesquisa e a extensão.</w:t>
      </w:r>
    </w:p>
    <w:p w:rsidR="0083198E" w:rsidRPr="00623DF3" w:rsidRDefault="0083198E" w:rsidP="0083198E">
      <w:pPr>
        <w:spacing w:after="0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numPr>
          <w:ilvl w:val="0"/>
          <w:numId w:val="7"/>
        </w:numPr>
        <w:spacing w:after="0"/>
        <w:ind w:hanging="360"/>
        <w:contextualSpacing/>
        <w:jc w:val="both"/>
        <w:rPr>
          <w:rFonts w:ascii="Times New Roman" w:hAnsi="Times New Roman"/>
          <w:color w:val="000000"/>
          <w:highlight w:val="white"/>
        </w:rPr>
      </w:pPr>
      <w:r w:rsidRPr="00623DF3">
        <w:rPr>
          <w:rFonts w:ascii="Times New Roman" w:hAnsi="Times New Roman"/>
          <w:color w:val="000000"/>
          <w:highlight w:val="white"/>
          <w:u w:val="single"/>
        </w:rPr>
        <w:t>Fundamentos e Metodologias do Ensino de Geografia:</w:t>
      </w:r>
      <w:r w:rsidRPr="00623DF3">
        <w:rPr>
          <w:rFonts w:ascii="Times New Roman" w:hAnsi="Times New Roman"/>
          <w:color w:val="000000"/>
          <w:highlight w:val="white"/>
        </w:rPr>
        <w:t xml:space="preserve"> O laboratório de ensino representa o espaço de consolidação das práticas elaboradas a partir das discussões dos fundamentos, teórico-metodológicos, da ciência geográfica. Dentre as práticas se destacam: a produção e experimentação de material didático: o uso da música e das produções audiovisuais; uso e aplicação das técnicas e tecnologias da educação no ensino de geografia; construção e aplicação de maquetes, jogos e brincadeiras; análise e produção de representações espaciais; análise de livros didáticos; atividades de pesquisa e leitura direcionada; desenvolvimento de projetos interdisciplinares de abordagem geográfica; oficinas e seus contributos na atividade docente/discente; prática docente, que visa preparar o educador para a prática profissional, em suas atividades de planejamento e execução do processo de ensino; criação e aplicação de processos avaliativos do ensino e da aprendizagem; desenvolvimento de projetos de ensino, pesquisa e extensão, bem como o compartilhamento de experiências no processo de ensino e aprendizagem.</w:t>
      </w:r>
    </w:p>
    <w:p w:rsidR="0083198E" w:rsidRPr="00623DF3" w:rsidRDefault="0083198E" w:rsidP="0083198E">
      <w:pPr>
        <w:spacing w:after="0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numPr>
          <w:ilvl w:val="0"/>
          <w:numId w:val="10"/>
        </w:numPr>
        <w:spacing w:after="0"/>
        <w:ind w:hanging="360"/>
        <w:contextualSpacing/>
        <w:jc w:val="both"/>
        <w:rPr>
          <w:rFonts w:ascii="Times New Roman" w:hAnsi="Times New Roman"/>
          <w:color w:val="000000"/>
          <w:highlight w:val="white"/>
        </w:rPr>
      </w:pPr>
      <w:r w:rsidRPr="00623DF3">
        <w:rPr>
          <w:rFonts w:ascii="Times New Roman" w:hAnsi="Times New Roman"/>
          <w:color w:val="000000"/>
          <w:highlight w:val="white"/>
          <w:u w:val="single"/>
        </w:rPr>
        <w:t xml:space="preserve">Fundamentos e Metodologias do Ensino de Matemática: </w:t>
      </w:r>
      <w:r w:rsidRPr="00623DF3">
        <w:rPr>
          <w:rFonts w:ascii="Times New Roman" w:hAnsi="Times New Roman"/>
          <w:color w:val="000000"/>
          <w:highlight w:val="white"/>
        </w:rPr>
        <w:t xml:space="preserve">O laboratório de ensino pode ser visto como um espaço de construção do conhecimento, seja individual ou coletivo. Nesse espaço, professores e alunos podem dar vida à sua criatividade, dinamizar o trabalho e enriquecer as atividades de ensino-aprendizagem, tornando o processo muito mais dinâmico, prazeroso e eficiente. A inclusão de atividades do tipo laboratorial pode ser uma das vertentes fundamentais, como modo de conseguir uma melhor qualidade na aprendizagem da Matemática, no que diz respeito à construção do conhecimento. Um dos objetivos centrais do ensino da Matemática é conseguir que os alunos desenvolvam uma compreensão aprofundada dos conceitos matemáticos, mais do que obter um bom desempenho </w:t>
      </w:r>
      <w:r w:rsidRPr="00623DF3">
        <w:rPr>
          <w:rFonts w:ascii="Times New Roman" w:hAnsi="Times New Roman"/>
          <w:color w:val="000000"/>
          <w:highlight w:val="white"/>
        </w:rPr>
        <w:lastRenderedPageBreak/>
        <w:t xml:space="preserve">em exercícios predefinidos ou a memorização de fórmulas. O laboratório de ensino, portanto, é um ambiente propício para estimular no futuro professor o gosto pela matemática, a perseverança na busca de soluções e a confiança em sua capacidade de aprender e fazer matemática. Além de contribuir para a construção de conceitos, procedimento e habilidades matemáticas, pode propiciar também a busca de relações, propriedades e regularidades, estimulando o espírito investigativo. </w:t>
      </w:r>
    </w:p>
    <w:p w:rsidR="0083198E" w:rsidRPr="00623DF3" w:rsidRDefault="0083198E" w:rsidP="0083198E">
      <w:pPr>
        <w:numPr>
          <w:ilvl w:val="0"/>
          <w:numId w:val="10"/>
        </w:numPr>
        <w:spacing w:after="0"/>
        <w:ind w:hanging="360"/>
        <w:contextualSpacing/>
        <w:jc w:val="both"/>
        <w:rPr>
          <w:rFonts w:ascii="Times New Roman" w:hAnsi="Times New Roman"/>
          <w:color w:val="000000"/>
          <w:highlight w:val="white"/>
        </w:rPr>
      </w:pPr>
      <w:r w:rsidRPr="00623DF3">
        <w:rPr>
          <w:rFonts w:ascii="Times New Roman" w:hAnsi="Times New Roman"/>
          <w:color w:val="000000"/>
          <w:highlight w:val="white"/>
          <w:u w:val="single"/>
        </w:rPr>
        <w:t xml:space="preserve">Fundamentos e Metodologias do Ensino da Língua Portuguesa: </w:t>
      </w:r>
      <w:r w:rsidRPr="00623DF3">
        <w:rPr>
          <w:rFonts w:ascii="Times New Roman" w:hAnsi="Times New Roman"/>
          <w:color w:val="000000"/>
          <w:highlight w:val="white"/>
        </w:rPr>
        <w:t>O  desenvolvimento do domínio da expressão oral e escrita em situações de uso público da linguagem, levando em conta a situação de produção social e material do texto, demanda a seleção, organização e mediação da língua em gêneros textuais adequados. Um planejamento bem elaborado garante o desenvolvimento do domínio de conhecimentos de linguagem e seus usos sociais.</w:t>
      </w:r>
    </w:p>
    <w:p w:rsidR="0083198E" w:rsidRPr="00623DF3" w:rsidRDefault="0083198E" w:rsidP="0083198E">
      <w:pPr>
        <w:spacing w:after="0"/>
        <w:ind w:left="720"/>
        <w:contextualSpacing/>
        <w:jc w:val="both"/>
        <w:rPr>
          <w:rFonts w:ascii="Times New Roman" w:hAnsi="Times New Roman"/>
          <w:color w:val="000000"/>
          <w:highlight w:val="white"/>
        </w:rPr>
      </w:pPr>
    </w:p>
    <w:p w:rsidR="0083198E" w:rsidRPr="00623DF3" w:rsidRDefault="0083198E" w:rsidP="0083198E">
      <w:pPr>
        <w:spacing w:after="0"/>
        <w:ind w:firstLine="72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 xml:space="preserve"> Nesse sentido, o uso de recursos didáticos e audiovisuais configura-se como prática necessária para a realização de diversas atividades linguísticas, e dentre as diferentes possibilidades ofertadas pelo laboratório, a exemplo da produção de cartazes, jornais, propagandas, revistas, slides, fotografias, o gravador e o vídeo ganham destaque, já que possibilitam o acesso a textos que combinam sistemas verbais e não-verbais de comunicação e possuem aplicações didáticas significativas para a organização e mediação de situações de aprendizagem da língua. </w:t>
      </w:r>
    </w:p>
    <w:p w:rsidR="0083198E" w:rsidRPr="00623DF3" w:rsidRDefault="0083198E" w:rsidP="0083198E">
      <w:pPr>
        <w:spacing w:after="0"/>
        <w:ind w:firstLine="72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 xml:space="preserve">O laboratório de ensino constitui-se ainda como espaço destinado não apenas à oferta de um acervo diferenciado de recursos e materiais pedagógicos que poderão ser comprados, mas também à construção de recursos, como jogos didáticos, alfabetos, fantoches, dicionários, livros e materiais confeccionados a partir de materiais alternativos pelos discentes nos projetos de extensão, ensino e pesquisa do curso de Licenciatura em Pedagogia. </w:t>
      </w:r>
    </w:p>
    <w:p w:rsidR="0083198E" w:rsidRPr="00623DF3" w:rsidRDefault="0083198E" w:rsidP="0083198E">
      <w:pPr>
        <w:spacing w:after="0"/>
        <w:ind w:firstLine="720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/>
        <w:ind w:left="72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-</w:t>
      </w:r>
      <w:r w:rsidRPr="00623DF3">
        <w:rPr>
          <w:rFonts w:ascii="Times New Roman" w:hAnsi="Times New Roman"/>
          <w:color w:val="000000"/>
          <w:highlight w:val="white"/>
          <w:u w:val="single"/>
        </w:rPr>
        <w:t xml:space="preserve"> Fundamentos e Metodologias do Ensino de Ciências: </w:t>
      </w:r>
      <w:r w:rsidRPr="00623DF3">
        <w:rPr>
          <w:rFonts w:ascii="Times New Roman" w:hAnsi="Times New Roman"/>
          <w:color w:val="000000"/>
          <w:highlight w:val="white"/>
        </w:rPr>
        <w:t>Na pesquisa em ensino de ciências é abundante a literatura que oferece alternativas a professores que atuam em escolas não equipadas com laboratório de ciências. O foco está no uso de materiais alternativos e de baixo custo, o que não dispensa a existência do laboratório de ensino. Nesse sentido, a disciplina de fundamentos e metodologias de ensino de ciências tem o laboratório de ensino como importante espaço de potencialização do desenvolvimento das categorias-chave que estruturam a proposta pedagógica da disciplina, a saber: a investigação, a problematização e a experimentação. Nessa perspectiva, o laboratório amplia as possibilidades de desenvolvimento das dimensões do “saber ciência”, do saber “sobre ciência” e do “fazer ciência”, mais precisamente incorporar às atividades de ensino aspectos da prática de produção do conhecimento científico.</w:t>
      </w:r>
    </w:p>
    <w:p w:rsidR="0083198E" w:rsidRPr="00623DF3" w:rsidRDefault="0083198E" w:rsidP="0083198E">
      <w:pPr>
        <w:spacing w:after="0"/>
        <w:ind w:left="720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/>
        <w:ind w:firstLine="70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 xml:space="preserve">Importa destacar que a existência e o uso do laboratório de ensino são necessários, mas não suficientes para a promoção da qualidade do ensino de ciências, porque a referida </w:t>
      </w:r>
      <w:r w:rsidRPr="00623DF3">
        <w:rPr>
          <w:rFonts w:ascii="Times New Roman" w:hAnsi="Times New Roman"/>
          <w:color w:val="000000"/>
          <w:highlight w:val="white"/>
        </w:rPr>
        <w:lastRenderedPageBreak/>
        <w:t>qualidade é um problema complexo e, assim sendo, não tem essência e sim múltiplas determinações.</w:t>
      </w:r>
    </w:p>
    <w:p w:rsidR="0083198E" w:rsidRPr="00623DF3" w:rsidRDefault="0083198E" w:rsidP="0083198E">
      <w:pPr>
        <w:spacing w:after="0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/>
        <w:ind w:left="72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  <w:u w:val="single"/>
        </w:rPr>
        <w:t>- Fundamentos e Metodologia do Ensino de História</w:t>
      </w:r>
      <w:r w:rsidRPr="00623DF3">
        <w:rPr>
          <w:rFonts w:ascii="Times New Roman" w:hAnsi="Times New Roman"/>
          <w:color w:val="000000"/>
          <w:highlight w:val="white"/>
        </w:rPr>
        <w:t xml:space="preserve">: O laboratório de ensino constitui-se como espaço privilegiado das relações de ensino e aprendizagem. Entre suas ações, busca proporcionar de forma indissociável a articulação entre as práticas pedagógicas e as reflexões teóricas. </w:t>
      </w:r>
    </w:p>
    <w:p w:rsidR="0083198E" w:rsidRPr="00623DF3" w:rsidRDefault="0083198E" w:rsidP="0083198E">
      <w:pPr>
        <w:spacing w:after="0"/>
        <w:ind w:left="720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/>
        <w:ind w:firstLine="72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Nesse sentido, as atividades do laboratório de ensino buscam dotar os acadêmicos do curso de pedagogia, a capacidade de compreender, criticar e historicizar informações em diversos tipos de fontes, como literatura, música, documentos impressos e textuais, objetos, monumentos, imprensa periódica, documentos iconográficos, orais, cinema, entre outras produções humanas.</w:t>
      </w:r>
    </w:p>
    <w:p w:rsidR="0083198E" w:rsidRPr="00623DF3" w:rsidRDefault="0083198E" w:rsidP="0083198E">
      <w:pPr>
        <w:spacing w:after="0"/>
        <w:ind w:firstLine="72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As ações do laboratório de ensino procuram promover atividades e programações que possibilitem análise de livros didáticos, documentos diversos, como entrevistas, visitas técnicas e acesso à materiais diversos disponíveis em sítios como</w:t>
      </w:r>
      <w:hyperlink r:id="rId6"/>
      <w:hyperlink r:id="rId7">
        <w:r w:rsidRPr="00623DF3">
          <w:rPr>
            <w:rFonts w:ascii="Times New Roman" w:hAnsi="Times New Roman"/>
            <w:color w:val="000000"/>
            <w:highlight w:val="white"/>
            <w:u w:val="single"/>
          </w:rPr>
          <w:t>http://www-apps.crl.edu/brazil/provincial</w:t>
        </w:r>
      </w:hyperlink>
      <w:r w:rsidRPr="00623DF3">
        <w:rPr>
          <w:rFonts w:ascii="Times New Roman" w:hAnsi="Times New Roman"/>
          <w:color w:val="000000"/>
          <w:highlight w:val="white"/>
        </w:rPr>
        <w:t xml:space="preserve"> que disponibilizam os Relatórios dos presidentes de província, e a hemeroteca da biblioteca nacional</w:t>
      </w:r>
      <w:hyperlink r:id="rId8"/>
      <w:hyperlink r:id="rId9">
        <w:r w:rsidRPr="00623DF3">
          <w:rPr>
            <w:rFonts w:ascii="Times New Roman" w:hAnsi="Times New Roman"/>
            <w:color w:val="000000"/>
            <w:highlight w:val="white"/>
            <w:u w:val="single"/>
          </w:rPr>
          <w:t>http://bndigital.bn.gov.br/hemeroteca-digital/</w:t>
        </w:r>
      </w:hyperlink>
      <w:r w:rsidRPr="00623DF3">
        <w:rPr>
          <w:rFonts w:ascii="Times New Roman" w:hAnsi="Times New Roman"/>
          <w:color w:val="000000"/>
          <w:highlight w:val="white"/>
        </w:rPr>
        <w:t xml:space="preserve"> , que disponibiliza milhares de fontes históricas. </w:t>
      </w:r>
    </w:p>
    <w:p w:rsidR="0083198E" w:rsidRPr="00623DF3" w:rsidRDefault="0083198E" w:rsidP="0083198E">
      <w:pPr>
        <w:spacing w:after="0"/>
        <w:ind w:firstLine="72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Ao manejar as fontes, os acadêmicos compreendem que a história é construída a partir de documentos e que estes podem ser trabalhados em sala de aula, o que proporciona autodescoberta como agentes históricos. Assim, conhecer a história  possibilita compreender a vida dos homens em sociedades e tempos históricos distintos, mudanças, permanências e transformações. Assim,  permite aos indivíduos questionar o contraditório presente em que vivem e tomar consciência de si e da realidade em que se inserem.</w:t>
      </w:r>
    </w:p>
    <w:p w:rsidR="0083198E" w:rsidRPr="00623DF3" w:rsidRDefault="0083198E" w:rsidP="0083198E">
      <w:pPr>
        <w:spacing w:after="0"/>
        <w:ind w:firstLine="70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Embora a organização desse espaço esteja prevista por disciplinas, devido às especificidades epistemológicas e didáticas, ações e atividades multi e interdisciplinares devem ser planejadas e desenvolvidas a partir de todo o acervo disponível e do conhecimento dos discentes e docentes envolvidos.[1]</w:t>
      </w:r>
    </w:p>
    <w:p w:rsidR="0083198E" w:rsidRPr="00623DF3" w:rsidRDefault="0083198E" w:rsidP="0083198E">
      <w:pPr>
        <w:spacing w:after="0"/>
        <w:ind w:firstLine="70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 xml:space="preserve">Acrescenta-se que, além do propósito de desenvolvimento cognitivo e epistemológico, concomitantemente objetiva-se o desenvolvimento humano e social, o que implica  atender especificidades de processos ensino-aprendizagem e da diversidade humana, tais como: ritmo, estilo de aprendizagem, conhecimentos e habilidades prévias, interesses e necessidades educacionais específicas. </w:t>
      </w:r>
    </w:p>
    <w:p w:rsidR="0083198E" w:rsidRPr="00623DF3" w:rsidRDefault="0083198E" w:rsidP="0083198E">
      <w:pPr>
        <w:spacing w:after="0"/>
        <w:ind w:firstLine="72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 xml:space="preserve">O grande desafio dos professores é construir uma proposta de trabalho que reconheça e valorize práticas culturais de todos os sujeitos educativos, na diversidade, sem perder de vista o conhecimento historicamente produzido, que constitui patrimônio de todos (VASCONCELLOS, 2002). As discussões advindas da LDBEN nº 9.394/96, com vistas a atender às exigências da sociedade contemporânea no que diz respeito à formação do professor, implica no reconhecimento dos sujeitos e das diferentes fases do desenvolvimento humano, bem como uma concepção de educador comprometido com a realidade do seu tempo e com o projeto de uma sociedade democrática. Para tanto, torna-se necessário que a formação dos professores estabeleça um diálogo com os distintos </w:t>
      </w:r>
      <w:r w:rsidRPr="00623DF3">
        <w:rPr>
          <w:rFonts w:ascii="Times New Roman" w:hAnsi="Times New Roman"/>
          <w:color w:val="000000"/>
        </w:rPr>
        <w:lastRenderedPageBreak/>
        <w:t>contextos educativos, o que torna necessária a reorganização das práticas avaliativas, da organização do currículo e do planejamento pedagógico.</w:t>
      </w:r>
    </w:p>
    <w:p w:rsidR="0083198E" w:rsidRPr="00623DF3" w:rsidRDefault="0083198E" w:rsidP="0083198E">
      <w:pPr>
        <w:spacing w:after="0"/>
        <w:ind w:firstLine="72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Conforme atesta Gatti (2011), a formação de professores para atuar na educação básica é feita de modo fragmentado entre as áreas disciplinares, níveis de ensino e nas disciplinas curriculares. Observa-se que na relação teoria e prática ocorre o predomínio dos aspectos teóricos, de fundamentos, política e contextualização, e que a escola, enquanto instituição social e de ensino, é elemento quase ausente nas ementas, o que leva a pensar numa formação de caráter mais abstrato e pouco integrado ao contexto concreto onde o profissional-professor vai atuar. Assim, há uma insuficiência formativa que compromete a atuação do professor.</w:t>
      </w:r>
    </w:p>
    <w:p w:rsidR="0083198E" w:rsidRPr="00623DF3" w:rsidRDefault="0083198E" w:rsidP="0083198E">
      <w:pPr>
        <w:spacing w:after="0"/>
        <w:ind w:firstLine="720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Nesse sentido, o laboratório de ensino constitui-se como espaço fundamental para propiciar ao discente um local para pesquisa, reflexão e produção sobre as especificidades do processo de ensino e aprendizagem nos espaços escolar e não escolar, numa perspectiva interdisciplinar e coletiva. A necessidade de desenvolver práticas pedagógicas em grupo requer o envolvimento de todos na elaboração, discussão, desenvolvimento e avaliação de materiais didático-pedagógicos concernentes ao contexto educativo em que atuam os discentes. Esse princípio de trabalho requer dos envolvidos no processo educativo o estudo permanente da realidade educacional e social. As diferentes fases do desenvolvimento humano, as práticas concretas de vida, a cultura, os elementos do contexto social, entre outros aspectos, tornam-se elementos de estudo e de trabalho político-pedagógico, permanentemente (PADILHA, 2002).</w:t>
      </w:r>
    </w:p>
    <w:p w:rsidR="0083198E" w:rsidRPr="00623DF3" w:rsidRDefault="0083198E" w:rsidP="0083198E">
      <w:pPr>
        <w:spacing w:after="0"/>
        <w:ind w:firstLine="700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ind w:firstLine="700"/>
        <w:jc w:val="both"/>
        <w:rPr>
          <w:rFonts w:ascii="Times New Roman" w:hAnsi="Times New Roman"/>
          <w:color w:val="000000"/>
        </w:rPr>
      </w:pPr>
    </w:p>
    <w:p w:rsidR="0083198E" w:rsidRPr="00623DF3" w:rsidRDefault="004270CA" w:rsidP="0083198E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pict>
          <v:rect id="_x0000_i1025" style="width:0;height:1.5pt" o:hralign="center" o:hrstd="t" o:hr="t" fillcolor="#a0a0a0" stroked="f"/>
        </w:pic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23DF3">
        <w:rPr>
          <w:rFonts w:ascii="Times New Roman" w:hAnsi="Times New Roman"/>
          <w:color w:val="000000"/>
          <w:sz w:val="20"/>
          <w:szCs w:val="20"/>
        </w:rPr>
        <w:t>[1] Libâneo (2012, p. 49) traz um exemplo de didática disciplinar: “a didática da educação ambiental consistiria  em ajudar os alunos a captar o percurso da investigação pelo qual vai se constituindo o saber ambiental e descobrir o caminho metodológico pelo qual podem interiorizar   esse percurso, para que aprendam a pensar e agir autonomamente em relação a práticas socioambientais (...)”. O autor apoia-se em Davydov, para quem “ [...] a abordagem pedagógico-didática de um conteúdo pressupõe a abordagem epistemológica desse conteúdo [...] tendo em vista analisar resolver problemas e situações concretas da vida prática”. (LIBÂNEO, 2012, p. 50).</w:t>
      </w:r>
    </w:p>
    <w:p w:rsidR="0083198E" w:rsidRPr="00623DF3" w:rsidRDefault="0083198E" w:rsidP="0083198E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b/>
          <w:color w:val="000000"/>
        </w:rPr>
        <w:tab/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b/>
          <w:color w:val="000000"/>
        </w:rPr>
        <w:t>DO REGULAMENTO DE USO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b/>
          <w:color w:val="000000"/>
          <w:highlight w:val="white"/>
        </w:rPr>
        <w:t>DAS DEFINIÇÕES, OBJETIVOS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Art. 1º. O laboratório de ensino constitui-se como espaço de reflexão, contextualização, produção e aplicação de materiais didáticos nos processos pedagógicos que auxiliem na articulação entre teoria e práticas de ensino.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Art. 2°. Nele podem ser atendidas as demandas dos cursos técnicos integrados, sendo prioritárias as demandas relativas às disciplinas de Fundamentos e Metodologias do Ensino do curso de Pedagogia.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Art. 3º. São objetivos do laboratório de ensino: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Oferecer condições para o desenvolvimento de atividades acadêmicas de ensino, pesquisa e extensão diretamente relacionadas às práticas pedagógicas;</w:t>
      </w:r>
    </w:p>
    <w:p w:rsidR="0083198E" w:rsidRPr="00623DF3" w:rsidRDefault="0083198E" w:rsidP="0083198E">
      <w:pPr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Constituir-se espaço de compartilhamento e produção de experiências do processo de ensino - aprendizagem em diferentes áreas do conhecimento;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Contribuir para a formação e atuação profissional e cidadã em espaços escolares e não escolares, na promoção da aprendizagem em diferentes fases do desenvolvimento humano.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623DF3">
        <w:rPr>
          <w:rFonts w:ascii="Times New Roman" w:hAnsi="Times New Roman"/>
          <w:b/>
          <w:color w:val="000000"/>
        </w:rPr>
        <w:t>HORÁRIO E ESTRUTURA FÍSICA</w:t>
      </w:r>
    </w:p>
    <w:p w:rsidR="0083198E" w:rsidRPr="00623DF3" w:rsidRDefault="0083198E" w:rsidP="0083198E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Art. 4° O Laboratório de Ensino situa-se no IFG – Campus Goiânia Oeste, bloco A, sala 11, que possui as dimensões XX metros quadrados e funciona nos turnos matutino, vespertino e noturno, de 2ª a 6ª feiras das  7h às 22h:15.</w:t>
      </w:r>
    </w:p>
    <w:p w:rsidR="0083198E" w:rsidRPr="00623DF3" w:rsidRDefault="0083198E" w:rsidP="0083198E">
      <w:pPr>
        <w:spacing w:after="0" w:line="240" w:lineRule="auto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EQUIPAMENTOS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 xml:space="preserve">• Três estantes tipo prateleiras para organização do material didático, das disciplinas de Fundamentos e Metodologias do ensino do curso de pedagogia. 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 xml:space="preserve">• Lousa digital. 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 xml:space="preserve">• Quadro branco  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 xml:space="preserve">• 02 mesas de madeira com 12 cadeiras cada uma, destinadas às atividades em grupos  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 xml:space="preserve">• 06 armários fechados 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03 Computadores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 xml:space="preserve">• Materiais didáticos diversos. 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b/>
          <w:color w:val="000000"/>
          <w:highlight w:val="white"/>
        </w:rPr>
        <w:t>DOS USUÁRIOS, SEUS DIREITOS, DEVERES E ATRIBUIÇÕES:</w:t>
      </w:r>
    </w:p>
    <w:p w:rsidR="0083198E" w:rsidRPr="00623DF3" w:rsidRDefault="0083198E" w:rsidP="0083198E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b/>
          <w:color w:val="000000"/>
        </w:rPr>
        <w:tab/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 xml:space="preserve">Art 5º. São usuários do laboratório de ensino: 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Servidores docentes com atividades que se coadunem com os objetivos do laboratório;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Servidores técnico-administrativos com atividades que se coadunem  com os objetivos do laboratório;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Monitores com atividades que se coadunem  com os objetivos do laboratório;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 xml:space="preserve"> Bolsistas com atividades que se coadunem  com os objetivos do laboratório;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lastRenderedPageBreak/>
        <w:t xml:space="preserve"> Estagiários com atividades que se coadunem  com os objetivos do laboratório;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Discentes matriculados em disciplinas cujo plano de ensino coadune com os objetivos do laboratório</w:t>
      </w:r>
      <w:r w:rsidRPr="00623DF3">
        <w:rPr>
          <w:rFonts w:ascii="Times New Roman" w:hAnsi="Times New Roman"/>
          <w:color w:val="000000"/>
        </w:rPr>
        <w:t>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Art. 6° São direitos dos usuários:</w:t>
      </w:r>
    </w:p>
    <w:p w:rsidR="0083198E" w:rsidRPr="00623DF3" w:rsidRDefault="0083198E" w:rsidP="0083198E">
      <w:pPr>
        <w:numPr>
          <w:ilvl w:val="0"/>
          <w:numId w:val="14"/>
        </w:numPr>
        <w:spacing w:after="0" w:line="240" w:lineRule="auto"/>
        <w:ind w:hanging="720"/>
        <w:contextualSpacing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 xml:space="preserve">Utilizar o laboratório para a realização de atividades de ensino, pesquisa e extensão sob supervisão. </w:t>
      </w:r>
    </w:p>
    <w:p w:rsidR="0083198E" w:rsidRPr="00623DF3" w:rsidRDefault="0083198E" w:rsidP="0083198E">
      <w:pPr>
        <w:spacing w:after="0" w:line="240" w:lineRule="auto"/>
        <w:ind w:left="1080"/>
        <w:contextualSpacing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Art. 7°. São deveres dos usuários:</w:t>
      </w:r>
    </w:p>
    <w:p w:rsidR="0083198E" w:rsidRPr="00623DF3" w:rsidRDefault="0083198E" w:rsidP="0083198E">
      <w:pPr>
        <w:numPr>
          <w:ilvl w:val="0"/>
          <w:numId w:val="13"/>
        </w:numPr>
        <w:spacing w:after="0" w:line="240" w:lineRule="auto"/>
        <w:ind w:hanging="360"/>
        <w:contextualSpacing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Zelar pela disciplina, organização e limpeza;</w:t>
      </w:r>
    </w:p>
    <w:p w:rsidR="0083198E" w:rsidRPr="00623DF3" w:rsidRDefault="0083198E" w:rsidP="0083198E">
      <w:pPr>
        <w:numPr>
          <w:ilvl w:val="0"/>
          <w:numId w:val="13"/>
        </w:numPr>
        <w:spacing w:after="0" w:line="240" w:lineRule="auto"/>
        <w:ind w:hanging="360"/>
        <w:contextualSpacing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Não entrar com alimentos e bebidas;</w:t>
      </w:r>
    </w:p>
    <w:p w:rsidR="0083198E" w:rsidRPr="00623DF3" w:rsidRDefault="0083198E" w:rsidP="0083198E">
      <w:pPr>
        <w:numPr>
          <w:ilvl w:val="0"/>
          <w:numId w:val="13"/>
        </w:numPr>
        <w:spacing w:after="0" w:line="240" w:lineRule="auto"/>
        <w:ind w:hanging="360"/>
        <w:contextualSpacing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Cuidar dos materiais e equipamentos;</w:t>
      </w:r>
    </w:p>
    <w:p w:rsidR="0083198E" w:rsidRPr="00623DF3" w:rsidRDefault="0083198E" w:rsidP="0083198E">
      <w:pPr>
        <w:numPr>
          <w:ilvl w:val="0"/>
          <w:numId w:val="13"/>
        </w:numPr>
        <w:spacing w:after="0" w:line="240" w:lineRule="auto"/>
        <w:ind w:hanging="360"/>
        <w:contextualSpacing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Relatar ao técnico ou docente responsável pelo uso do laboratório qualquer dano ou irregularidade;</w:t>
      </w:r>
    </w:p>
    <w:p w:rsidR="0083198E" w:rsidRPr="00623DF3" w:rsidRDefault="0083198E" w:rsidP="0083198E">
      <w:pPr>
        <w:numPr>
          <w:ilvl w:val="0"/>
          <w:numId w:val="13"/>
        </w:numPr>
        <w:spacing w:after="0" w:line="240" w:lineRule="auto"/>
        <w:ind w:hanging="360"/>
        <w:contextualSpacing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Utilizar apenas os equipamentos previstos em seu plano de trabalho e/ou material solicitado pelo servidor responsável;</w:t>
      </w:r>
    </w:p>
    <w:p w:rsidR="0083198E" w:rsidRPr="00623DF3" w:rsidRDefault="0083198E" w:rsidP="0083198E">
      <w:pPr>
        <w:numPr>
          <w:ilvl w:val="0"/>
          <w:numId w:val="13"/>
        </w:numPr>
        <w:spacing w:after="0" w:line="240" w:lineRule="auto"/>
        <w:ind w:hanging="360"/>
        <w:contextualSpacing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Solicitar abertura da sala à segurança. Após seu uso, solicitar o fechamento e assegurar que: computadores, projetores e sistema de som foram desligados e retirados da tomada; luzes, ventiladores e ar condicionado foram devidamente desligados.</w:t>
      </w:r>
    </w:p>
    <w:p w:rsidR="0083198E" w:rsidRPr="00623DF3" w:rsidRDefault="0083198E" w:rsidP="0083198E">
      <w:pPr>
        <w:numPr>
          <w:ilvl w:val="0"/>
          <w:numId w:val="13"/>
        </w:numPr>
        <w:spacing w:after="0" w:line="240" w:lineRule="auto"/>
        <w:ind w:hanging="360"/>
        <w:contextualSpacing/>
        <w:jc w:val="both"/>
        <w:rPr>
          <w:rFonts w:ascii="Times New Roman" w:eastAsia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 xml:space="preserve">Não retirar qualquer tipo de material ou equipamento sem autorização da gerência administrativa ou chefia de departamento. </w:t>
      </w:r>
      <w:r w:rsidRPr="00623DF3">
        <w:rPr>
          <w:rFonts w:ascii="Times New Roman" w:hAnsi="Times New Roman"/>
          <w:color w:val="000000"/>
          <w:highlight w:val="white"/>
        </w:rPr>
        <w:t xml:space="preserve"> Móveis poderão ser rearranjados no espaço, mas deverão ser dispostos na organização inicial fixada atrás da porta.</w:t>
      </w:r>
    </w:p>
    <w:p w:rsidR="0083198E" w:rsidRPr="00623DF3" w:rsidRDefault="0083198E" w:rsidP="0083198E">
      <w:pPr>
        <w:numPr>
          <w:ilvl w:val="0"/>
          <w:numId w:val="13"/>
        </w:numPr>
        <w:spacing w:after="0" w:line="240" w:lineRule="auto"/>
        <w:ind w:hanging="360"/>
        <w:contextualSpacing/>
        <w:jc w:val="both"/>
        <w:rPr>
          <w:rFonts w:ascii="Times New Roman" w:hAnsi="Times New Roman"/>
          <w:color w:val="000000"/>
          <w:highlight w:val="white"/>
        </w:rPr>
      </w:pPr>
      <w:r w:rsidRPr="00623DF3">
        <w:rPr>
          <w:rFonts w:ascii="Times New Roman" w:hAnsi="Times New Roman"/>
          <w:color w:val="000000"/>
          <w:highlight w:val="white"/>
        </w:rPr>
        <w:t>Respeitar os horários disponíveis e as reservas realizadas previamente por servidores;</w:t>
      </w:r>
    </w:p>
    <w:p w:rsidR="0083198E" w:rsidRPr="00623DF3" w:rsidRDefault="0083198E" w:rsidP="0083198E">
      <w:pPr>
        <w:numPr>
          <w:ilvl w:val="0"/>
          <w:numId w:val="13"/>
        </w:numPr>
        <w:spacing w:after="0" w:line="240" w:lineRule="auto"/>
        <w:ind w:hanging="360"/>
        <w:contextualSpacing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Cumprir e fazer cumprir este regulamento.</w:t>
      </w:r>
    </w:p>
    <w:p w:rsidR="0083198E" w:rsidRPr="00623DF3" w:rsidRDefault="0083198E" w:rsidP="0083198E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623DF3">
        <w:rPr>
          <w:rFonts w:ascii="Times New Roman" w:hAnsi="Times New Roman"/>
          <w:b/>
          <w:color w:val="000000"/>
        </w:rPr>
        <w:t>DOS DEVERES DOS SERVIDORES</w:t>
      </w:r>
    </w:p>
    <w:p w:rsidR="0083198E" w:rsidRPr="00623DF3" w:rsidRDefault="0083198E" w:rsidP="0083198E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Art. 8°. O docente da disciplina deverá fornecer esclarecimentos e orientações ao estudante para que ele possa utilizar adequadamente os materiais em aulas práticas.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numPr>
          <w:ilvl w:val="0"/>
          <w:numId w:val="15"/>
        </w:numPr>
        <w:spacing w:after="0" w:line="240" w:lineRule="auto"/>
        <w:ind w:hanging="360"/>
        <w:contextualSpacing/>
        <w:jc w:val="both"/>
        <w:rPr>
          <w:rFonts w:ascii="Times New Roman" w:hAnsi="Times New Roman"/>
          <w:color w:val="000000"/>
          <w:highlight w:val="white"/>
        </w:rPr>
      </w:pPr>
      <w:r w:rsidRPr="00623DF3">
        <w:rPr>
          <w:rFonts w:ascii="Times New Roman" w:hAnsi="Times New Roman"/>
          <w:color w:val="000000"/>
          <w:highlight w:val="white"/>
        </w:rPr>
        <w:t>Cada usuário se compromete a planejar suas atividades de modo que não haja qualquer prejuízo na realização integral da atividades subsequente.</w:t>
      </w:r>
    </w:p>
    <w:p w:rsidR="0083198E" w:rsidRPr="00623DF3" w:rsidRDefault="0083198E" w:rsidP="0083198E">
      <w:pPr>
        <w:numPr>
          <w:ilvl w:val="0"/>
          <w:numId w:val="15"/>
        </w:numPr>
        <w:spacing w:after="0" w:line="240" w:lineRule="auto"/>
        <w:ind w:hanging="360"/>
        <w:contextualSpacing/>
        <w:jc w:val="both"/>
        <w:rPr>
          <w:rFonts w:ascii="Times New Roman" w:hAnsi="Times New Roman"/>
          <w:color w:val="000000"/>
          <w:highlight w:val="white"/>
        </w:rPr>
      </w:pPr>
      <w:r w:rsidRPr="00623DF3">
        <w:rPr>
          <w:rFonts w:ascii="Times New Roman" w:hAnsi="Times New Roman"/>
          <w:color w:val="000000"/>
          <w:highlight w:val="white"/>
        </w:rPr>
        <w:t>Cabe ao responsável pela atividade pedagógica providenciar o arranjo dos equipamentos, testá-los e solicitar com antecedência o material consumível, uma vez que essa atividade não é permitida a não  servidores.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623DF3">
        <w:rPr>
          <w:rFonts w:ascii="Times New Roman" w:hAnsi="Times New Roman"/>
          <w:b/>
          <w:color w:val="000000"/>
        </w:rPr>
        <w:t>DOS DEVERES DOS MONITORES, BOLSISTAS, ESTAGIÁRIOS E ALUNOS</w:t>
      </w:r>
    </w:p>
    <w:p w:rsidR="0083198E" w:rsidRPr="00623DF3" w:rsidRDefault="0083198E" w:rsidP="0083198E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Art. 9º. Os monitores deverão agendar horários de atendimento para os estudantes sob supervisão.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DO TÉCNICO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Agendar os horários;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Organizar o livro de frequência referente ao uso do laboratório;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Organizar arquivos referentes à documentação do laboratório;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lastRenderedPageBreak/>
        <w:t>d) Preparar materiais e equipamentos previamente agendados e solicitados para aulas práticas, estágio, estudo, pesquisa e extensão;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e) Solicitar ao coordenador a compra de materiais e equipamentos, quando necessário;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f) Encaminhar ao coordenador as solicitações de conserto e manutenção para equipamentos;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g) Supervisionar a limpeza do laboratório;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h) Receber e conferir materiais do setor de compras/almoxarifado/patrimônio;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i) Supervisionar as atividades de estágio e estudo no que tange aos materiais, equipamentos e espaços em uso;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j) Receber e conferir materiais desenvolvidos pelos professores, estudantes e estagiários após o empréstimo;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k) Auxiliar o professor e os estudantes durante as aulas no laboratório, quando necessário;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l) Divulgar horários de monitoria;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m) Cumprir e fazer cumprir este regulamento;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n) Zelar pela ordem e manutenção do laboratório.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b/>
          <w:color w:val="000000"/>
          <w:highlight w:val="white"/>
        </w:rPr>
        <w:t>DAS NORMAS E PROCEDIMENTOS: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Art. 10º. O Laboratório de Ensino poderá ser utilizado pelos usuários citados no Capítulo II deste regulamento, desde que cumpram integralmente com seus deveres anteriormente descritos.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Art. 11º. Tendo em vista o Capítulo III - Dos Objetivos, Funções e Finalidades, o Laboratório deve estar sob responsabilidade de um servidor, ou mais de um, quando se tratar de uso com finalidade pedagógica conjunta, para que seja aprovado o agendamento de uso.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§ 1º. Monitores, Bolsistas e Estagiários devem estar sob orientação de um servidor, logo sob sua responsabilidade, segundo estabelecido em Plano de Trabalho entregue e aprovado pelo Departamento de Áreas Acadêmicas, ao qual o Laboratório está vinculado, para fazerem uso do espaço sem a presença de um servidor.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 xml:space="preserve">§ 2º. Todo usuário não servidor só poderá ter acesso ao Laboratório de Ensino mediante a assinatura do Termo de Responsabilidade que descreve equipamentos e materiais a serem utilizados. Esse documento também deverá ser assinado pelo servidor responsável e pelo Chefe de Departamento de Áreas Acadêmicas. 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§ 3º. É vedado o uso de equipamentos e materiais que não estiverem descritos no plano de trabalho.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 xml:space="preserve">§ 8º Os seguranças do IFG-Câmpus Goiânia Oeste somente abrirão o Laboratório de Ensino para não servidores mediante a apresentação do Termo de Responsabilidade devidamente assinado. 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 xml:space="preserve">Art. 12º. O agendamento de dias e horários para uso do Laboratório de Ensino se dará única e exclusivamente por meio do SUAP - Sistema Unificado de Administração Pública em módulo próprio (Administração - Reserva de Salas) com no mínimo 48h de antecedência. 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 xml:space="preserve">§ 1º. Na indisponibilidade deste sistema de agendamento, fica sob responsabilidade da Chefia do Departamento de Áreas Acadêmicas, ao qual está vinculado o Laboratório, </w:t>
      </w:r>
      <w:r w:rsidRPr="00623DF3">
        <w:rPr>
          <w:rFonts w:ascii="Times New Roman" w:hAnsi="Times New Roman"/>
          <w:color w:val="000000"/>
          <w:highlight w:val="white"/>
        </w:rPr>
        <w:lastRenderedPageBreak/>
        <w:t>criar instrumento provisório de agendamento e informar ao servidor da deliberação final, até que o sistema se restabeleça.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 xml:space="preserve">§ 2º. Com a finalidade de atender exclusivamente a realização de aulas dos cursos ofertados pelo IFG- Câmpus Goiânia Oeste, poderá ser solicitado por servidores o agendamento semestral de um dia da semana para cada disciplina. As solicitações devem ser encaminhadas juntamente com o Plano de Ensino, justificando o uso do Laboratório. 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§ 3º. Os seguintes critérios deverão ser seguidos para definição de prioridades no agendamento:</w:t>
      </w:r>
    </w:p>
    <w:p w:rsidR="0083198E" w:rsidRPr="00623DF3" w:rsidRDefault="0083198E" w:rsidP="0083198E">
      <w:pPr>
        <w:numPr>
          <w:ilvl w:val="0"/>
          <w:numId w:val="11"/>
        </w:numPr>
        <w:spacing w:after="0" w:line="240" w:lineRule="auto"/>
        <w:ind w:hanging="360"/>
        <w:contextualSpacing/>
        <w:jc w:val="both"/>
        <w:rPr>
          <w:rFonts w:ascii="Times New Roman" w:hAnsi="Times New Roman"/>
          <w:color w:val="000000"/>
          <w:highlight w:val="white"/>
        </w:rPr>
      </w:pPr>
      <w:r w:rsidRPr="00623DF3">
        <w:rPr>
          <w:rFonts w:ascii="Times New Roman" w:hAnsi="Times New Roman"/>
          <w:color w:val="000000"/>
          <w:highlight w:val="white"/>
          <w:u w:val="single"/>
        </w:rPr>
        <w:t>Semestral</w:t>
      </w:r>
      <w:r w:rsidRPr="00623DF3">
        <w:rPr>
          <w:rFonts w:ascii="Times New Roman" w:hAnsi="Times New Roman"/>
          <w:color w:val="000000"/>
          <w:highlight w:val="white"/>
        </w:rPr>
        <w:t>:</w:t>
      </w:r>
    </w:p>
    <w:p w:rsidR="0083198E" w:rsidRPr="00623DF3" w:rsidRDefault="0083198E" w:rsidP="0083198E">
      <w:pPr>
        <w:numPr>
          <w:ilvl w:val="0"/>
          <w:numId w:val="9"/>
        </w:numPr>
        <w:spacing w:after="0" w:line="240" w:lineRule="auto"/>
        <w:ind w:hanging="360"/>
        <w:contextualSpacing/>
        <w:jc w:val="both"/>
        <w:rPr>
          <w:rFonts w:ascii="Times New Roman" w:hAnsi="Times New Roman"/>
          <w:color w:val="000000"/>
          <w:highlight w:val="white"/>
        </w:rPr>
      </w:pPr>
      <w:r w:rsidRPr="00623DF3">
        <w:rPr>
          <w:rFonts w:ascii="Times New Roman" w:hAnsi="Times New Roman"/>
          <w:color w:val="000000"/>
          <w:highlight w:val="white"/>
        </w:rPr>
        <w:t>Disciplinas cujos objetivos coadunem integralmente com as funções e finalidade do Laboratório de Ensino. (disciplinas de Fundamentos e Metodologias do Ensino ministradas no curso de Licenciatura em Pedagogia;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 xml:space="preserve">       2.   </w:t>
      </w:r>
      <w:r w:rsidRPr="00623DF3">
        <w:rPr>
          <w:rFonts w:ascii="Times New Roman" w:hAnsi="Times New Roman"/>
          <w:color w:val="000000"/>
          <w:highlight w:val="white"/>
          <w:u w:val="single"/>
        </w:rPr>
        <w:t>Diário</w:t>
      </w:r>
      <w:r w:rsidRPr="00623DF3">
        <w:rPr>
          <w:rFonts w:ascii="Times New Roman" w:hAnsi="Times New Roman"/>
          <w:color w:val="000000"/>
          <w:highlight w:val="white"/>
        </w:rPr>
        <w:t>:</w:t>
      </w:r>
    </w:p>
    <w:p w:rsidR="0083198E" w:rsidRPr="00623DF3" w:rsidRDefault="0083198E" w:rsidP="0083198E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rFonts w:ascii="Times New Roman" w:hAnsi="Times New Roman"/>
          <w:color w:val="000000"/>
          <w:highlight w:val="white"/>
        </w:rPr>
      </w:pPr>
      <w:r w:rsidRPr="00623DF3">
        <w:rPr>
          <w:rFonts w:ascii="Times New Roman" w:hAnsi="Times New Roman"/>
          <w:color w:val="000000"/>
          <w:highlight w:val="white"/>
        </w:rPr>
        <w:t>Atividades acadêmicas de Estágio, Monitoria, Extensão e Pesquisa da disciplina descrita no item 1(a);</w:t>
      </w:r>
    </w:p>
    <w:p w:rsidR="0083198E" w:rsidRPr="00623DF3" w:rsidRDefault="0083198E" w:rsidP="0083198E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rFonts w:ascii="Times New Roman" w:hAnsi="Times New Roman"/>
          <w:color w:val="000000"/>
          <w:highlight w:val="white"/>
        </w:rPr>
      </w:pPr>
      <w:r w:rsidRPr="00623DF3">
        <w:rPr>
          <w:rFonts w:ascii="Times New Roman" w:hAnsi="Times New Roman"/>
          <w:color w:val="000000"/>
          <w:highlight w:val="white"/>
        </w:rPr>
        <w:t>Disciplina cuja atividades pedagógicas coadunem momentaneamente com as funções e finalidade do Laboratório de Ensino;</w:t>
      </w:r>
    </w:p>
    <w:p w:rsidR="0083198E" w:rsidRPr="00623DF3" w:rsidRDefault="0083198E" w:rsidP="0083198E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rFonts w:ascii="Times New Roman" w:hAnsi="Times New Roman"/>
          <w:color w:val="000000"/>
          <w:highlight w:val="white"/>
        </w:rPr>
      </w:pPr>
      <w:r w:rsidRPr="00623DF3">
        <w:rPr>
          <w:rFonts w:ascii="Times New Roman" w:hAnsi="Times New Roman"/>
          <w:color w:val="000000"/>
          <w:highlight w:val="white"/>
        </w:rPr>
        <w:t>Demais atividades pedagógicas;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§ 4º. A aprovação quanto aos pedidos de agendamento diários e semestrais ficarão a cargo do servidor designado pelo Departamento de Áreas Acadêmicas, que construirá o horário de uso do Laboratório, irá apresentá-lo, aprová-lo em reunião de colegiado e afixá-lo semestralmente na porta do Laboratório de Ensino.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§ 5º. É permitido o agendamento e autorização de uso do Laboratório de Ensino por servidores de outros Câmpus ou Unidades da Instituição, desde que não haja prejuízo às atividades acadêmicas ou em agendamentos prévios.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 xml:space="preserve"> § 6º. Ficam cancelados os agendamento diários ou semestrais em casos de urgência, pane ou manutenção, essa última cabendo aviso prévio aos usuários envolvidos.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Art. XXº. É vedada a permanência de usuários que não estejam vinculados a atividade pedagógica.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623DF3">
        <w:rPr>
          <w:rFonts w:ascii="Times New Roman" w:hAnsi="Times New Roman"/>
          <w:b/>
          <w:color w:val="000000"/>
        </w:rPr>
        <w:t>DAS RESPONSABILIDADES</w:t>
      </w:r>
    </w:p>
    <w:p w:rsidR="0083198E" w:rsidRPr="00623DF3" w:rsidRDefault="0083198E" w:rsidP="0083198E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Art. 13º. O Laboratório de ensino está subordinado à coordenação acadêmica, sob a responsabilidade da chefia departamental, à qual caberá designar um servidor  técnico administrativo para o auxílio, orientação e supervisão do uso  do laboratório.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Parágrafo único. São de responsabilidade desse servidor: organizar o agendamento, auxiliar na realização das atividades; zelar pelo uso dos equipamentos e materiais; garantir o cumprimento deste regulamento.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DA COORDENAÇÃO ACADÊMICA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a) Participar do desenvolvimento de programas de utilização do laboratório juntamente com professores das disciplinas;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lastRenderedPageBreak/>
        <w:t>b) Colaborar no planejamento e realização de seleção dos estagiários e/ou monitores para o Laboratório;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b) Incentivar e colaborar em atividades de ensino, pesquisa e extensão vinculadas ao laboratório;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c)  Contribuir com ações que se destinem à aquisição de novos equipamentos e materiais para uso no laboratório;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d) Participar da elaboração e realização de processos de avaliação contínua das atividades do laboratório;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e) Contribuir com a criação de propostas de aperfeiçoamento do regulamento;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f) Assegurar o cumprimento do regulamento de uso do Laboratório.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83198E" w:rsidRPr="00623DF3" w:rsidRDefault="0083198E" w:rsidP="0083198E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623DF3">
        <w:rPr>
          <w:rFonts w:ascii="Times New Roman" w:hAnsi="Times New Roman"/>
          <w:b/>
          <w:color w:val="000000"/>
        </w:rPr>
        <w:t>RECOMENDAÇÕES GERAIS</w:t>
      </w:r>
    </w:p>
    <w:p w:rsidR="0083198E" w:rsidRPr="00623DF3" w:rsidRDefault="0083198E" w:rsidP="0083198E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83198E" w:rsidRPr="00623DF3" w:rsidRDefault="0083198E" w:rsidP="0083198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Estar ciente do regulamento que rege o funcionamento do Laboratório;</w:t>
      </w:r>
    </w:p>
    <w:p w:rsidR="0083198E" w:rsidRPr="00623DF3" w:rsidRDefault="0083198E" w:rsidP="0083198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Zelar pela conservação e limpeza do local;</w:t>
      </w:r>
    </w:p>
    <w:p w:rsidR="0083198E" w:rsidRPr="00623DF3" w:rsidRDefault="0083198E" w:rsidP="0083198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Respeitar os horários reservados para as aulas;</w:t>
      </w:r>
    </w:p>
    <w:p w:rsidR="0083198E" w:rsidRPr="00623DF3" w:rsidRDefault="0083198E" w:rsidP="0083198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Manter silêncio, salvo em atividades coletivas devidamente planejadas;</w:t>
      </w:r>
    </w:p>
    <w:p w:rsidR="0083198E" w:rsidRPr="00623DF3" w:rsidRDefault="0083198E" w:rsidP="0083198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Responsabilizar-se pelos seus objetos pessoais;</w:t>
      </w:r>
    </w:p>
    <w:p w:rsidR="0083198E" w:rsidRPr="00623DF3" w:rsidRDefault="0083198E" w:rsidP="0083198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Sempre utilizar fones de ouvido. Caso haja necessidade de trabalhar com áudio, torna-se necessária a autorização do professor ou responsável pelo espaço;</w:t>
      </w:r>
    </w:p>
    <w:p w:rsidR="0083198E" w:rsidRPr="00623DF3" w:rsidRDefault="0083198E" w:rsidP="0083198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Após o uso do Laboratório, guardar materiais, desligar computadores e monitores, colocar mesas e cadeiras no lugar;</w:t>
      </w:r>
    </w:p>
    <w:p w:rsidR="0083198E" w:rsidRPr="00623DF3" w:rsidRDefault="0083198E" w:rsidP="0083198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Não utilizar os computadores do Laboratório para armazenamento de arquivos. O usuário deverá manter os arquivos salvos em meios próprios como pendrives, HDs, CDs, etc;</w:t>
      </w:r>
    </w:p>
    <w:p w:rsidR="0083198E" w:rsidRPr="00623DF3" w:rsidRDefault="0083198E" w:rsidP="0083198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 xml:space="preserve">Os materiais do Laboratório somente poderão ser retirados mediante autorização, fazendo-se o registro em livro de empréstimo, com prazo definido para devolução. Haverá responsabilização sobre quaisquer danos provocados nos materiais;   </w:t>
      </w:r>
    </w:p>
    <w:p w:rsidR="0083198E" w:rsidRPr="00623DF3" w:rsidRDefault="0083198E" w:rsidP="0083198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Apenas servidores poderão fazer login nos computadores do laboratório. Excepcionalmente, será fornecida pela chefia de departamento uma senha provisória para  alunos;</w:t>
      </w:r>
    </w:p>
    <w:p w:rsidR="0083198E" w:rsidRPr="00623DF3" w:rsidRDefault="0083198E" w:rsidP="0083198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highlight w:val="white"/>
        </w:rPr>
      </w:pPr>
      <w:r w:rsidRPr="00623DF3">
        <w:rPr>
          <w:rFonts w:ascii="Times New Roman" w:hAnsi="Times New Roman"/>
          <w:color w:val="000000"/>
        </w:rPr>
        <w:t>Os computador devem ser desligados de forma adequada (via sistema).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b/>
          <w:color w:val="000000"/>
        </w:rPr>
        <w:t>É vetado ao usuário:</w:t>
      </w:r>
    </w:p>
    <w:p w:rsidR="0083198E" w:rsidRPr="00623DF3" w:rsidRDefault="0083198E" w:rsidP="0083198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Consumir alimentos, bebidas, ou fazer uso de cigarros no laboratório;</w:t>
      </w:r>
    </w:p>
    <w:p w:rsidR="0083198E" w:rsidRPr="00623DF3" w:rsidRDefault="0083198E" w:rsidP="0083198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Retirar materiais e/ou equipamentos sem a autorização do responsável pelo laboratório;</w:t>
      </w:r>
    </w:p>
    <w:p w:rsidR="0083198E" w:rsidRPr="00623DF3" w:rsidRDefault="0083198E" w:rsidP="0083198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Acessar sites inadequados à ética, à moral, de natureza discriminatória, pornográfica ou racista;</w:t>
      </w:r>
    </w:p>
    <w:p w:rsidR="0083198E" w:rsidRPr="00623DF3" w:rsidRDefault="0083198E" w:rsidP="0083198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Acessar redes sociais, exceto quando autorizado pelo professor, ou esta servir para alguma finalidade da atividade executada;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Alterar o funcionamento dos equipamentos computacionais pela instalação de softwares ou retirada de algum dos seus componentes;</w:t>
      </w:r>
    </w:p>
    <w:p w:rsidR="0083198E" w:rsidRPr="00623DF3" w:rsidRDefault="0083198E" w:rsidP="0083198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Durante as atividades será vetada a entrada de alunos de outras turmas e demais pessoas;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623DF3">
        <w:rPr>
          <w:rFonts w:ascii="Times New Roman" w:hAnsi="Times New Roman"/>
          <w:b/>
          <w:color w:val="000000"/>
          <w:highlight w:val="white"/>
        </w:rPr>
        <w:t>DISPOSIÇÕES GERAIS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Art. 14° O usuário que não cumprir o presente Regulamento responderá por seus atos perante a Chefia de Departamento do DAA mediante advertência pedagógica e demais sanções disciplinares aplicáveis;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numPr>
          <w:ilvl w:val="0"/>
          <w:numId w:val="12"/>
        </w:numPr>
        <w:spacing w:after="0" w:line="240" w:lineRule="auto"/>
        <w:ind w:hanging="360"/>
        <w:contextualSpacing/>
        <w:jc w:val="both"/>
        <w:rPr>
          <w:rFonts w:ascii="Times New Roman" w:hAnsi="Times New Roman"/>
          <w:color w:val="000000"/>
          <w:highlight w:val="white"/>
        </w:rPr>
      </w:pPr>
      <w:r w:rsidRPr="00623DF3">
        <w:rPr>
          <w:rFonts w:ascii="Times New Roman" w:hAnsi="Times New Roman"/>
          <w:color w:val="000000"/>
        </w:rPr>
        <w:t>Qualquer dano ou prejuízo ao acervo do Laboratório de Ensino será de responsabilidade dos usuários.</w:t>
      </w:r>
    </w:p>
    <w:p w:rsidR="0083198E" w:rsidRPr="00623DF3" w:rsidRDefault="0083198E" w:rsidP="0083198E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highlight w:val="white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  <w:highlight w:val="white"/>
        </w:rPr>
        <w:t>Art. 15° Os casos omissos neste Regulamento devem ser resolvidos pelo Coordenação acadêmica, chefia de departamento e direção geral, juntamente com apreciação do Colegiado dos Cursos e demais partes envolvidas, em concordância com o que dispõe o projeto pedagógico dos cursos do Instituto Federal de Goiás – Câmpus Goiânia Oeste.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b/>
          <w:color w:val="000000"/>
        </w:rPr>
        <w:t>REFERÊNCIAS BIBLIOGRÁFICAS: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BRASIL. Resolução CNE/CP n°1, de 15 de maio de 2006. Institui Diretrizes Curriculares Nacionais para o Curso de Graduação em Pedagogia, licenciatura. 2006. Disponível em: &lt;</w:t>
      </w:r>
      <w:hyperlink r:id="rId10"/>
      <w:hyperlink r:id="rId11">
        <w:r w:rsidRPr="00623DF3">
          <w:rPr>
            <w:rFonts w:ascii="Times New Roman" w:hAnsi="Times New Roman"/>
            <w:color w:val="000000"/>
            <w:u w:val="single"/>
          </w:rPr>
          <w:t>http://portal.mec.gov.br/cne/arquivos/pdf/rcp01_06.pdf</w:t>
        </w:r>
      </w:hyperlink>
      <w:r w:rsidRPr="00623DF3">
        <w:rPr>
          <w:rFonts w:ascii="Times New Roman" w:hAnsi="Times New Roman"/>
          <w:color w:val="000000"/>
        </w:rPr>
        <w:t>&gt;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 xml:space="preserve">GATTI,Bernardete A. Questão docente: formação, profissionalização, carreira e decisão política. In: CUNHA, Célio et al. </w:t>
      </w:r>
      <w:r w:rsidRPr="00623DF3">
        <w:rPr>
          <w:rFonts w:ascii="Times New Roman" w:hAnsi="Times New Roman"/>
          <w:b/>
          <w:color w:val="000000"/>
        </w:rPr>
        <w:t>Políticas públicas de educação na América Latina:</w:t>
      </w:r>
      <w:r w:rsidRPr="00623DF3">
        <w:rPr>
          <w:rFonts w:ascii="Times New Roman" w:hAnsi="Times New Roman"/>
          <w:color w:val="000000"/>
        </w:rPr>
        <w:t xml:space="preserve"> lições aprendidas e desafios.Campinas: Autores associados, 2011.p.303-323.  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INSTITUTO FEDERAL DE EDUCAÇÃO, CIÊNCIA E TECNOLOGIA GOIÁS. Câmpus Goiânia Oeste. Departamento de Áreas Acadêmicas. Projeto pedagógico do curso de Licenciatura em Pedagogia. Goiânia, 2014.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 xml:space="preserve">LIBÂNEO, J.C. Ensinar a aprender,aprender a ensinar: o lugar da teoria e da prática em didática. In: LIBÂNEO, J.C.; ALVES, N. (Org.). </w:t>
      </w:r>
      <w:r w:rsidRPr="00623DF3">
        <w:rPr>
          <w:rFonts w:ascii="Times New Roman" w:hAnsi="Times New Roman"/>
          <w:b/>
          <w:color w:val="000000"/>
        </w:rPr>
        <w:t xml:space="preserve">Temas em pedagogia: </w:t>
      </w:r>
      <w:r w:rsidRPr="00623DF3">
        <w:rPr>
          <w:rFonts w:ascii="Times New Roman" w:hAnsi="Times New Roman"/>
          <w:color w:val="000000"/>
        </w:rPr>
        <w:t>diálogos entre didática e currículo. São Paulo: Cortez, 2012, p. 35-60.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 xml:space="preserve">PADILHA, Paulo Roberto. </w:t>
      </w:r>
      <w:r w:rsidRPr="00623DF3">
        <w:rPr>
          <w:rFonts w:ascii="Times New Roman" w:hAnsi="Times New Roman"/>
          <w:b/>
          <w:color w:val="000000"/>
        </w:rPr>
        <w:t xml:space="preserve">Planejamento dialógico: como construir o projeto político pedagógico da escola. </w:t>
      </w:r>
      <w:r w:rsidRPr="00623DF3">
        <w:rPr>
          <w:rFonts w:ascii="Times New Roman" w:hAnsi="Times New Roman"/>
          <w:color w:val="000000"/>
        </w:rPr>
        <w:t>2ª ed. IPF, São Paulo: Cortez, 2002.</w:t>
      </w: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198E" w:rsidRPr="00623DF3" w:rsidRDefault="0083198E" w:rsidP="0083198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23DF3">
        <w:rPr>
          <w:rFonts w:ascii="Times New Roman" w:hAnsi="Times New Roman"/>
          <w:color w:val="000000"/>
        </w:rPr>
        <w:t>VASCONCELLOS, Celso.</w:t>
      </w:r>
      <w:r w:rsidRPr="00623DF3">
        <w:rPr>
          <w:rFonts w:ascii="Times New Roman" w:hAnsi="Times New Roman"/>
          <w:b/>
          <w:color w:val="000000"/>
        </w:rPr>
        <w:t xml:space="preserve"> Coordenação do trabalho pedagógico. </w:t>
      </w:r>
      <w:r w:rsidRPr="00623DF3">
        <w:rPr>
          <w:rFonts w:ascii="Times New Roman" w:hAnsi="Times New Roman"/>
          <w:color w:val="000000"/>
        </w:rPr>
        <w:t>São Paulo: Libertad, 2002.</w:t>
      </w:r>
    </w:p>
    <w:p w:rsidR="00450F0D" w:rsidRDefault="00450F0D" w:rsidP="0083198E"/>
    <w:sectPr w:rsidR="00450F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AFD"/>
    <w:multiLevelType w:val="multilevel"/>
    <w:tmpl w:val="64C0A1C0"/>
    <w:name w:val="WW8Num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D55167F"/>
    <w:multiLevelType w:val="hybridMultilevel"/>
    <w:tmpl w:val="17AA3856"/>
    <w:lvl w:ilvl="0" w:tplc="0416000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F6D47"/>
    <w:multiLevelType w:val="hybridMultilevel"/>
    <w:tmpl w:val="35CA13B2"/>
    <w:lvl w:ilvl="0" w:tplc="0416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E5E5B"/>
    <w:multiLevelType w:val="multilevel"/>
    <w:tmpl w:val="3E5C98B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97D5617"/>
    <w:multiLevelType w:val="hybridMultilevel"/>
    <w:tmpl w:val="9D94A93A"/>
    <w:lvl w:ilvl="0" w:tplc="6F42BF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C52DF"/>
    <w:multiLevelType w:val="multilevel"/>
    <w:tmpl w:val="E89E9F4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03A4B13"/>
    <w:multiLevelType w:val="multilevel"/>
    <w:tmpl w:val="A83A3320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318D3CC9"/>
    <w:multiLevelType w:val="multilevel"/>
    <w:tmpl w:val="50380138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35413B27"/>
    <w:multiLevelType w:val="multilevel"/>
    <w:tmpl w:val="24367E86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3CC75E05"/>
    <w:multiLevelType w:val="hybridMultilevel"/>
    <w:tmpl w:val="EDA2EBDC"/>
    <w:lvl w:ilvl="0" w:tplc="B040226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1811A72"/>
    <w:multiLevelType w:val="hybridMultilevel"/>
    <w:tmpl w:val="7140394A"/>
    <w:lvl w:ilvl="0" w:tplc="0416000D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46723"/>
    <w:multiLevelType w:val="hybridMultilevel"/>
    <w:tmpl w:val="B3ECDE06"/>
    <w:lvl w:ilvl="0" w:tplc="04160005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03">
      <w:start w:val="1"/>
      <w:numFmt w:val="lowerLetter"/>
      <w:pStyle w:val="Ttulo2"/>
      <w:lvlText w:val="%2."/>
      <w:lvlJc w:val="left"/>
      <w:pPr>
        <w:ind w:left="1440" w:hanging="360"/>
      </w:pPr>
    </w:lvl>
    <w:lvl w:ilvl="2" w:tplc="04160005">
      <w:start w:val="1"/>
      <w:numFmt w:val="lowerRoman"/>
      <w:pStyle w:val="Ttulo3"/>
      <w:lvlText w:val="%3."/>
      <w:lvlJc w:val="right"/>
      <w:pPr>
        <w:ind w:left="2160" w:hanging="180"/>
      </w:pPr>
    </w:lvl>
    <w:lvl w:ilvl="3" w:tplc="04160001">
      <w:start w:val="1"/>
      <w:numFmt w:val="decimal"/>
      <w:lvlText w:val="%4."/>
      <w:lvlJc w:val="left"/>
      <w:pPr>
        <w:ind w:left="2880" w:hanging="360"/>
      </w:pPr>
    </w:lvl>
    <w:lvl w:ilvl="4" w:tplc="04160003">
      <w:start w:val="1"/>
      <w:numFmt w:val="lowerLetter"/>
      <w:lvlText w:val="%5."/>
      <w:lvlJc w:val="left"/>
      <w:pPr>
        <w:ind w:left="3600" w:hanging="360"/>
      </w:pPr>
    </w:lvl>
    <w:lvl w:ilvl="5" w:tplc="04160005">
      <w:start w:val="1"/>
      <w:numFmt w:val="lowerRoman"/>
      <w:lvlText w:val="%6."/>
      <w:lvlJc w:val="right"/>
      <w:pPr>
        <w:ind w:left="4320" w:hanging="180"/>
      </w:pPr>
    </w:lvl>
    <w:lvl w:ilvl="6" w:tplc="04160001">
      <w:start w:val="1"/>
      <w:numFmt w:val="decimal"/>
      <w:lvlText w:val="%7."/>
      <w:lvlJc w:val="left"/>
      <w:pPr>
        <w:ind w:left="5040" w:hanging="360"/>
      </w:pPr>
    </w:lvl>
    <w:lvl w:ilvl="7" w:tplc="04160003">
      <w:start w:val="1"/>
      <w:numFmt w:val="lowerLetter"/>
      <w:lvlText w:val="%8."/>
      <w:lvlJc w:val="left"/>
      <w:pPr>
        <w:ind w:left="5760" w:hanging="360"/>
      </w:pPr>
    </w:lvl>
    <w:lvl w:ilvl="8" w:tplc="04160005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13BA0"/>
    <w:multiLevelType w:val="hybridMultilevel"/>
    <w:tmpl w:val="50BCA03C"/>
    <w:lvl w:ilvl="0" w:tplc="0416000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D7CF2"/>
    <w:multiLevelType w:val="hybridMultilevel"/>
    <w:tmpl w:val="341A5356"/>
    <w:lvl w:ilvl="0" w:tplc="8FE261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04C43"/>
    <w:multiLevelType w:val="hybridMultilevel"/>
    <w:tmpl w:val="CB66A4B4"/>
    <w:lvl w:ilvl="0" w:tplc="A10002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00000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C2632"/>
    <w:multiLevelType w:val="hybridMultilevel"/>
    <w:tmpl w:val="025E36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F1FD5"/>
    <w:multiLevelType w:val="multilevel"/>
    <w:tmpl w:val="C6E6D972"/>
    <w:lvl w:ilvl="0">
      <w:start w:val="1"/>
      <w:numFmt w:val="upperRoman"/>
      <w:lvlText w:val="%1."/>
      <w:lvlJc w:val="left"/>
      <w:pPr>
        <w:ind w:left="108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" w15:restartNumberingAfterBreak="0">
    <w:nsid w:val="75650465"/>
    <w:multiLevelType w:val="multilevel"/>
    <w:tmpl w:val="685899F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7E6E0EA0"/>
    <w:multiLevelType w:val="multilevel"/>
    <w:tmpl w:val="A4D2AA6C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4"/>
  </w:num>
  <w:num w:numId="5">
    <w:abstractNumId w:val="9"/>
  </w:num>
  <w:num w:numId="6">
    <w:abstractNumId w:val="14"/>
  </w:num>
  <w:num w:numId="7">
    <w:abstractNumId w:val="3"/>
  </w:num>
  <w:num w:numId="8">
    <w:abstractNumId w:val="18"/>
  </w:num>
  <w:num w:numId="9">
    <w:abstractNumId w:val="8"/>
  </w:num>
  <w:num w:numId="10">
    <w:abstractNumId w:val="5"/>
  </w:num>
  <w:num w:numId="11">
    <w:abstractNumId w:val="0"/>
  </w:num>
  <w:num w:numId="12">
    <w:abstractNumId w:val="17"/>
  </w:num>
  <w:num w:numId="13">
    <w:abstractNumId w:val="6"/>
  </w:num>
  <w:num w:numId="14">
    <w:abstractNumId w:val="16"/>
  </w:num>
  <w:num w:numId="15">
    <w:abstractNumId w:val="7"/>
  </w:num>
  <w:num w:numId="16">
    <w:abstractNumId w:val="10"/>
  </w:num>
  <w:num w:numId="17">
    <w:abstractNumId w:val="2"/>
  </w:num>
  <w:num w:numId="18">
    <w:abstractNumId w:val="1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06"/>
    <w:rsid w:val="000615DB"/>
    <w:rsid w:val="003E6514"/>
    <w:rsid w:val="004270CA"/>
    <w:rsid w:val="00450F0D"/>
    <w:rsid w:val="0050483B"/>
    <w:rsid w:val="0055724F"/>
    <w:rsid w:val="005D6D71"/>
    <w:rsid w:val="00653306"/>
    <w:rsid w:val="006961E8"/>
    <w:rsid w:val="0083198E"/>
    <w:rsid w:val="008A3825"/>
    <w:rsid w:val="009D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CA5C"/>
  <w15:chartTrackingRefBased/>
  <w15:docId w15:val="{FD6A5E0A-ACCE-4E31-B7C8-4B679076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306"/>
    <w:pPr>
      <w:spacing w:after="200" w:line="276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4270CA"/>
    <w:pPr>
      <w:keepNext/>
      <w:widowControl w:val="0"/>
      <w:numPr>
        <w:numId w:val="19"/>
      </w:numPr>
      <w:suppressAutoHyphens/>
      <w:spacing w:before="120" w:after="120" w:line="240" w:lineRule="auto"/>
      <w:outlineLvl w:val="0"/>
    </w:pPr>
    <w:rPr>
      <w:rFonts w:ascii="Times New Roman" w:eastAsia="Lucida Sans Unicode" w:hAnsi="Times New Roman"/>
      <w:b/>
      <w:color w:val="008000"/>
      <w:kern w:val="2"/>
      <w:sz w:val="22"/>
      <w:lang w:val="x-none" w:eastAsia="ar-SA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270CA"/>
    <w:pPr>
      <w:keepNext/>
      <w:widowControl w:val="0"/>
      <w:numPr>
        <w:ilvl w:val="1"/>
        <w:numId w:val="19"/>
      </w:numPr>
      <w:suppressAutoHyphens/>
      <w:spacing w:before="120" w:after="120" w:line="240" w:lineRule="auto"/>
      <w:outlineLvl w:val="1"/>
    </w:pPr>
    <w:rPr>
      <w:rFonts w:eastAsia="Lucida Sans Unicode"/>
      <w:b/>
      <w:szCs w:val="24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270CA"/>
    <w:pPr>
      <w:keepNext/>
      <w:widowControl w:val="0"/>
      <w:numPr>
        <w:ilvl w:val="2"/>
        <w:numId w:val="19"/>
      </w:numPr>
      <w:suppressAutoHyphens/>
      <w:spacing w:before="120" w:after="60" w:line="240" w:lineRule="auto"/>
      <w:jc w:val="both"/>
      <w:outlineLvl w:val="2"/>
    </w:pPr>
    <w:rPr>
      <w:rFonts w:ascii="Times New Roman" w:eastAsia="Lucida Sans Unicode" w:hAnsi="Times New Roman"/>
      <w:b/>
      <w:sz w:val="20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3306"/>
    <w:pPr>
      <w:ind w:left="720"/>
      <w:contextualSpacing/>
    </w:pPr>
    <w:rPr>
      <w:rFonts w:ascii="Calibri" w:hAnsi="Calibri"/>
      <w:sz w:val="22"/>
    </w:rPr>
  </w:style>
  <w:style w:type="paragraph" w:styleId="SemEspaamento">
    <w:name w:val="No Spacing"/>
    <w:uiPriority w:val="1"/>
    <w:qFormat/>
    <w:rsid w:val="008A3825"/>
    <w:pPr>
      <w:spacing w:after="0" w:line="240" w:lineRule="auto"/>
    </w:pPr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5724F"/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5724F"/>
    <w:rPr>
      <w:rFonts w:ascii="Arial" w:eastAsia="Calibri" w:hAnsi="Arial" w:cs="Times New Roman"/>
      <w:sz w:val="20"/>
      <w:szCs w:val="20"/>
      <w:lang w:val="x-none"/>
    </w:rPr>
  </w:style>
  <w:style w:type="character" w:customStyle="1" w:styleId="Ttulo1Char">
    <w:name w:val="Título 1 Char"/>
    <w:basedOn w:val="Fontepargpadro"/>
    <w:link w:val="Ttulo1"/>
    <w:uiPriority w:val="1"/>
    <w:rsid w:val="004270CA"/>
    <w:rPr>
      <w:rFonts w:ascii="Times New Roman" w:eastAsia="Lucida Sans Unicode" w:hAnsi="Times New Roman" w:cs="Times New Roman"/>
      <w:b/>
      <w:color w:val="008000"/>
      <w:kern w:val="2"/>
      <w:lang w:val="x-none" w:eastAsia="ar-SA"/>
    </w:rPr>
  </w:style>
  <w:style w:type="character" w:customStyle="1" w:styleId="Ttulo2Char">
    <w:name w:val="Título 2 Char"/>
    <w:basedOn w:val="Fontepargpadro"/>
    <w:link w:val="Ttulo2"/>
    <w:semiHidden/>
    <w:rsid w:val="004270CA"/>
    <w:rPr>
      <w:rFonts w:ascii="Arial" w:eastAsia="Lucida Sans Unicode" w:hAnsi="Arial" w:cs="Times New Roman"/>
      <w:b/>
      <w:sz w:val="24"/>
      <w:szCs w:val="24"/>
      <w:lang w:val="x-none" w:eastAsia="ar-SA"/>
    </w:rPr>
  </w:style>
  <w:style w:type="character" w:customStyle="1" w:styleId="Ttulo3Char">
    <w:name w:val="Título 3 Char"/>
    <w:basedOn w:val="Fontepargpadro"/>
    <w:link w:val="Ttulo3"/>
    <w:semiHidden/>
    <w:rsid w:val="004270CA"/>
    <w:rPr>
      <w:rFonts w:ascii="Times New Roman" w:eastAsia="Lucida Sans Unicode" w:hAnsi="Times New Roman" w:cs="Times New Roman"/>
      <w:b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ndigital.bn.gov.br/hemeroteca-digita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-apps.crl.edu/brazil/provincia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-apps.crl.edu/brazil/provincial" TargetMode="External"/><Relationship Id="rId11" Type="http://schemas.openxmlformats.org/officeDocument/2006/relationships/hyperlink" Target="http://portal.mec.gov.br/cne/arquivos/pdf/rcp01_06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portal.mec.gov.br/cne/arquivos/pdf/rcp01_0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ndigital.bn.gov.br/hemeroteca-digita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4942</Words>
  <Characters>26692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Edinho o.c</dc:creator>
  <cp:keywords/>
  <dc:description/>
  <cp:lastModifiedBy>Edinho o.c</cp:lastModifiedBy>
  <cp:revision>4</cp:revision>
  <dcterms:created xsi:type="dcterms:W3CDTF">2018-04-25T13:06:00Z</dcterms:created>
  <dcterms:modified xsi:type="dcterms:W3CDTF">2018-04-25T13:17:00Z</dcterms:modified>
</cp:coreProperties>
</file>